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B0B4F" w14:textId="77777777" w:rsidR="00420FCD" w:rsidRPr="00420FCD" w:rsidRDefault="00420FCD" w:rsidP="00420FCD">
      <w:pPr>
        <w:spacing w:after="160" w:line="278" w:lineRule="auto"/>
        <w:ind w:left="270" w:right="1587"/>
        <w:rPr>
          <w:rFonts w:ascii="Aptos" w:eastAsia="Aptos" w:hAnsi="Aptos"/>
          <w:b/>
          <w:bCs/>
          <w:kern w:val="2"/>
          <w:sz w:val="28"/>
          <w:szCs w:val="28"/>
          <w14:ligatures w14:val="standardContextual"/>
        </w:rPr>
      </w:pPr>
      <w:r>
        <w:rPr>
          <w:rFonts w:ascii="Aptos" w:hAnsi="Aptos"/>
          <w:b/>
          <w:sz w:val="28"/>
        </w:rPr>
        <w:t>La journée AMATECHNICA 2026 a attiré 7 000 visiteurs venus de 43 pays</w:t>
      </w:r>
    </w:p>
    <w:p w14:paraId="620D9AA2" w14:textId="77777777" w:rsidR="00420FCD" w:rsidRPr="00420FCD" w:rsidRDefault="00420FCD" w:rsidP="00420FCD">
      <w:pPr>
        <w:spacing w:after="160" w:line="278" w:lineRule="auto"/>
        <w:ind w:left="270" w:right="1587"/>
        <w:rPr>
          <w:rFonts w:ascii="Aptos" w:eastAsia="Aptos" w:hAnsi="Aptos"/>
          <w:i/>
          <w:iCs/>
          <w:kern w:val="2"/>
          <w14:ligatures w14:val="standardContextual"/>
        </w:rPr>
      </w:pPr>
      <w:r>
        <w:rPr>
          <w:rFonts w:ascii="Aptos" w:hAnsi="Aptos"/>
          <w:i/>
        </w:rPr>
        <w:t>Le salon interne d’envergure internationale, organisé au siège social de la société AMAZONE, a mis l’accent sur la Communication et l’Innovation.</w:t>
      </w:r>
    </w:p>
    <w:p w14:paraId="3EF216E3" w14:textId="77777777" w:rsidR="00420FCD" w:rsidRPr="00420FCD" w:rsidRDefault="00420FCD" w:rsidP="00420FCD">
      <w:pPr>
        <w:spacing w:after="160" w:line="278" w:lineRule="auto"/>
        <w:ind w:left="270" w:right="1587"/>
        <w:rPr>
          <w:rFonts w:ascii="Aptos" w:eastAsia="Aptos" w:hAnsi="Aptos"/>
          <w:i/>
          <w:iCs/>
          <w:kern w:val="2"/>
          <w:lang w:eastAsia="en-US"/>
          <w14:ligatures w14:val="standardContextual"/>
        </w:rPr>
      </w:pPr>
    </w:p>
    <w:p w14:paraId="6864DABA" w14:textId="2404DF91" w:rsidR="00420FCD" w:rsidRPr="00420FCD" w:rsidRDefault="00420FCD" w:rsidP="00420FCD">
      <w:pPr>
        <w:spacing w:after="160" w:line="278" w:lineRule="auto"/>
        <w:ind w:left="270" w:right="1587"/>
        <w:rPr>
          <w:rFonts w:ascii="Aptos" w:eastAsia="Aptos" w:hAnsi="Aptos"/>
          <w:kern w:val="2"/>
          <w14:ligatures w14:val="standardContextual"/>
        </w:rPr>
      </w:pPr>
      <w:proofErr w:type="spellStart"/>
      <w:r>
        <w:rPr>
          <w:rFonts w:ascii="Aptos" w:hAnsi="Aptos"/>
          <w:b/>
        </w:rPr>
        <w:t>Hasbergen</w:t>
      </w:r>
      <w:proofErr w:type="spellEnd"/>
      <w:r>
        <w:rPr>
          <w:rFonts w:ascii="Aptos" w:hAnsi="Aptos"/>
          <w:b/>
        </w:rPr>
        <w:t>-Gaste, 21/05/2026.</w:t>
      </w:r>
      <w:r>
        <w:rPr>
          <w:rFonts w:ascii="Aptos" w:hAnsi="Aptos"/>
        </w:rPr>
        <w:t xml:space="preserve"> Le salon AMATECHNICA s’est montré sous son meilleur jour et a une nouvelle fois confirmé son importance sur la scène internationale. 7 000 agriculteurs, entrepreneurs et partenaires commerciaux, venus de 43 pays, ont mis à profit le salon interne, organisé au siège social de la société AMAZONE, pour s’informer des évolutions actuelles et des innovations dans le secteur du machinisme agricole.</w:t>
      </w:r>
    </w:p>
    <w:p w14:paraId="002810BA" w14:textId="166A1DAE"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Sous le slogan « Acteurs du Futur », AMAZONE a présenté un programme très polyvalent avec des démonstrations de produits, des informations spécialisées et de nombreuses possibilités d’échanges personnels. Les impressionnantes démonstrations, avec les nouveautés d’Agritechnica et les innovations actuelles, issues de tous les secteurs de compétence de la technique agricole et espaces verts AMAZONE, ont particulièrement attiré le public. Notamment l’épandeur d’engrais à réglage automatique ZA</w:t>
      </w:r>
      <w:r>
        <w:rPr>
          <w:rFonts w:ascii="Aptos" w:hAnsi="Aptos"/>
        </w:rPr>
        <w:noBreakHyphen/>
        <w:t xml:space="preserve">TS 01 </w:t>
      </w:r>
      <w:proofErr w:type="spellStart"/>
      <w:r>
        <w:rPr>
          <w:rFonts w:ascii="Aptos" w:hAnsi="Aptos"/>
        </w:rPr>
        <w:t>AutoSpread</w:t>
      </w:r>
      <w:proofErr w:type="spellEnd"/>
      <w:r>
        <w:rPr>
          <w:rFonts w:ascii="Aptos" w:hAnsi="Aptos"/>
        </w:rPr>
        <w:t xml:space="preserve"> et le pulvérisateur automoteur Pantera 4504 avec la nouvelle génération de cabines confortables. En outre, AMAZONE a également communiqué sur le partenariat actuel avec </w:t>
      </w:r>
      <w:proofErr w:type="spellStart"/>
      <w:r>
        <w:rPr>
          <w:rFonts w:ascii="Aptos" w:hAnsi="Aptos"/>
        </w:rPr>
        <w:t>CultiWise</w:t>
      </w:r>
      <w:proofErr w:type="spellEnd"/>
      <w:r>
        <w:rPr>
          <w:rFonts w:ascii="Aptos" w:hAnsi="Aptos"/>
        </w:rPr>
        <w:t xml:space="preserve">. L’objectif de cette coopération stratégique est de simplifier les applications numériques pour une agriculture intelligente et de permettre une utilisation encore plus précise des cartes de modulation, basées sur les données satellites et les drones. </w:t>
      </w:r>
    </w:p>
    <w:p w14:paraId="1C166C6A"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 xml:space="preserve">Le parcours de l’innovation était l’un des éléments centraux de la manifestation. Il a guidé les visiteurs à travers les grands enjeux d’avenir de l’agriculture. Avec une présentation des solutions technologiques et numériques pour une gestion encore plus efficace et une préservation des ressources. Les conseillers spécialisés de la société AMAZONE et de nombreuses sociétés partenaires ont eu des échanges constructifs avec les agriculteurs, les entrepreneurs et les partenaires commerciaux. </w:t>
      </w:r>
    </w:p>
    <w:p w14:paraId="2349E4DE"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La vente aux enchères de matériels d’occasion récents AMAZONE a représenté un autre point important du programme. L’intégration étroite de la vente aux enchères dans le cadre du salon a mis en évidence l’approche globale de l’AMATECHNICA et le désir de relier la technique, l’information et les options concrètes d’investissement. Le montant des enchères a atteint 1 million d'euros.</w:t>
      </w:r>
    </w:p>
    <w:p w14:paraId="64DDF003"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 xml:space="preserve">Les autres points du programme ont également rencontré un vif succès. Visites d’usine, vaste exposition de machines. Une présentation de machines anciennes avec </w:t>
      </w:r>
      <w:r>
        <w:rPr>
          <w:rFonts w:ascii="Aptos" w:hAnsi="Aptos"/>
        </w:rPr>
        <w:lastRenderedPageBreak/>
        <w:t xml:space="preserve">120 tracteurs historiques </w:t>
      </w:r>
      <w:proofErr w:type="gramStart"/>
      <w:r>
        <w:rPr>
          <w:rFonts w:ascii="Aptos" w:hAnsi="Aptos"/>
        </w:rPr>
        <w:t>a</w:t>
      </w:r>
      <w:proofErr w:type="gramEnd"/>
      <w:r>
        <w:rPr>
          <w:rFonts w:ascii="Aptos" w:hAnsi="Aptos"/>
        </w:rPr>
        <w:t xml:space="preserve"> apporté un éclairage supplémentaire sur la technique et son évolution. De nombreux visiteurs ont utilisé le service de navettes pour visiter le centre de pièces de rechange et le centre de machines d’occasion à Tecklenburg-Leeden, ainsi que la ferme expérimentale </w:t>
      </w:r>
      <w:proofErr w:type="spellStart"/>
      <w:r>
        <w:rPr>
          <w:rFonts w:ascii="Aptos" w:hAnsi="Aptos"/>
        </w:rPr>
        <w:t>Wambergen</w:t>
      </w:r>
      <w:proofErr w:type="spellEnd"/>
      <w:r>
        <w:rPr>
          <w:rFonts w:ascii="Aptos" w:hAnsi="Aptos"/>
        </w:rPr>
        <w:t xml:space="preserve"> où sont testés des concepts de culture d'avenir. Le musée AMAZONE qui expose un grand nombre de machines de différentes époques souligne l’histoire de la société. </w:t>
      </w:r>
    </w:p>
    <w:p w14:paraId="314D9B5A"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Des exposés et conférences ont également apporté des éclairages techniques. Des sujets d’actualité ont été abordé de manière concrète, notamment l’agriculture de précision et les solutions numériques destinées à augmenter l’efficacité, la durabilité et le confort d’utilisation. L’AMATECHNICA 2026 s’est terminé par une soirée animée par un groupe qui a joué en direct sous le chapiteau.</w:t>
      </w:r>
    </w:p>
    <w:p w14:paraId="094D93A1"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Pour cette dixième édition, AMAZONE dresse dans l’ensemble un bilan très positif de ce grand évènement international et remercie l’ensemble des participants pour leur engagement et les retours très favorables exprimés par les visiteurs.</w:t>
      </w:r>
    </w:p>
    <w:p w14:paraId="0025495B" w14:textId="77777777" w:rsidR="00420FCD" w:rsidRPr="00420FCD" w:rsidRDefault="00420FCD" w:rsidP="00420FCD">
      <w:pPr>
        <w:spacing w:after="160" w:line="278" w:lineRule="auto"/>
        <w:ind w:left="270" w:right="1587"/>
        <w:rPr>
          <w:rFonts w:ascii="Aptos" w:eastAsia="Aptos" w:hAnsi="Aptos"/>
          <w:kern w:val="2"/>
          <w:lang w:eastAsia="en-US"/>
          <w14:ligatures w14:val="standardContextual"/>
        </w:rPr>
      </w:pPr>
    </w:p>
    <w:p w14:paraId="5256FE6C" w14:textId="77777777" w:rsidR="007639FE" w:rsidRDefault="007639FE" w:rsidP="00420FCD">
      <w:pPr>
        <w:spacing w:after="120" w:line="360" w:lineRule="auto"/>
        <w:ind w:left="270" w:right="1587"/>
        <w:rPr>
          <w:rFonts w:ascii="Arial" w:hAnsi="Arial" w:cs="Arial"/>
          <w:bCs/>
        </w:rPr>
      </w:pPr>
    </w:p>
    <w:p w14:paraId="6E6B59EF" w14:textId="77777777" w:rsidR="007639FE" w:rsidRDefault="007639FE" w:rsidP="00420FCD">
      <w:pPr>
        <w:spacing w:after="120" w:line="360" w:lineRule="auto"/>
        <w:ind w:left="270" w:right="1587"/>
        <w:rPr>
          <w:rFonts w:ascii="Arial" w:hAnsi="Arial" w:cs="Arial"/>
          <w:bCs/>
        </w:rPr>
      </w:pPr>
    </w:p>
    <w:p w14:paraId="27662AD3" w14:textId="77777777" w:rsidR="004A4E71" w:rsidRDefault="004A4E71" w:rsidP="00420FCD">
      <w:pPr>
        <w:ind w:left="270" w:right="1587"/>
        <w:rPr>
          <w:rFonts w:ascii="Arial" w:hAnsi="Arial" w:cs="Arial"/>
          <w:bCs/>
        </w:rPr>
      </w:pPr>
      <w:r>
        <w:br w:type="page"/>
      </w:r>
    </w:p>
    <w:p w14:paraId="42F1EC3E"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5600E89B"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7BE8533A" w14:textId="4B3E1F7E"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est en Allemagne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produisent des machines agricoles et des machines destinées à l’entretien des espaces verts. Cette entreprise gérée par ses propriétaires emploie environ 2 700 personnes sur 8 sites de production, au sein du Global Parts Center et du Global </w:t>
      </w:r>
      <w:proofErr w:type="spellStart"/>
      <w:r>
        <w:rPr>
          <w:rFonts w:ascii="Arial" w:hAnsi="Arial"/>
          <w:color w:val="808080" w:themeColor="background1" w:themeShade="80"/>
          <w:sz w:val="20"/>
        </w:rPr>
        <w:t>Machinery</w:t>
      </w:r>
      <w:proofErr w:type="spellEnd"/>
      <w:r>
        <w:rPr>
          <w:rFonts w:ascii="Arial" w:hAnsi="Arial"/>
          <w:color w:val="808080" w:themeColor="background1" w:themeShade="80"/>
          <w:sz w:val="20"/>
        </w:rPr>
        <w:t xml:space="preserve"> Center, ainsi que 11 filiales commerciales. Les outils de préparation du sol, les semoirs, les épandeurs d’engrais, les pulvérisateurs et les bineuses font partie de la gamme de production des matériels agricoles. Sur la base de ces compétences clés, AMAZONE est aujourd’hui le spécialiste d’une « agriculture durable ». AMAZONE propose également des matériels d'entretien des parcs et espaces verts ainsi que pour le service hivernal. Plus d’informations : </w:t>
      </w:r>
      <w:hyperlink r:id="rId8" w:history="1">
        <w:r w:rsidR="008F1361" w:rsidRPr="0070058B">
          <w:rPr>
            <w:rStyle w:val="Hyperlink"/>
            <w:rFonts w:ascii="Arial" w:hAnsi="Arial"/>
            <w:sz w:val="20"/>
          </w:rPr>
          <w:t>www.amazone.net/fr</w:t>
        </w:r>
      </w:hyperlink>
    </w:p>
    <w:p w14:paraId="1ACDDEDE" w14:textId="77777777" w:rsidR="0006424B" w:rsidRDefault="0006424B" w:rsidP="0006424B">
      <w:pPr>
        <w:tabs>
          <w:tab w:val="left" w:pos="3550"/>
        </w:tabs>
        <w:spacing w:line="360" w:lineRule="auto"/>
        <w:ind w:left="567" w:right="1128"/>
      </w:pPr>
      <w:r>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66EBBBCB" w14:textId="77777777" w:rsidR="00A42ED2" w:rsidRDefault="00A42ED2" w:rsidP="00A42ED2">
      <w:pPr>
        <w:spacing w:after="120" w:line="360" w:lineRule="auto"/>
        <w:ind w:left="567" w:right="1695"/>
        <w:rPr>
          <w:rFonts w:ascii="Arial" w:hAnsi="Arial" w:cs="Arial"/>
          <w:bCs/>
        </w:rPr>
      </w:pPr>
    </w:p>
    <w:sectPr w:rsidR="00A42ED2" w:rsidSect="00C7362D">
      <w:headerReference w:type="default" r:id="rId24"/>
      <w:footerReference w:type="default" r:id="rId25"/>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C7667" w14:textId="77777777" w:rsidR="00906F47" w:rsidRDefault="00906F47">
      <w:r>
        <w:separator/>
      </w:r>
    </w:p>
  </w:endnote>
  <w:endnote w:type="continuationSeparator" w:id="0">
    <w:p w14:paraId="163233A5" w14:textId="77777777" w:rsidR="00906F47" w:rsidRDefault="00906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5002EFF" w:usb1="C200ACF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B4F05"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D6B516"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CD6B516"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2EA5067"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545D29"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97ECBB"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0761AA8A" w14:textId="2598EF78"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8F1361">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897ECBB"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0761AA8A" w14:textId="2598EF78"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8F1361">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9817A" w14:textId="77777777" w:rsidR="00906F47" w:rsidRDefault="00906F47">
      <w:r>
        <w:separator/>
      </w:r>
    </w:p>
  </w:footnote>
  <w:footnote w:type="continuationSeparator" w:id="0">
    <w:p w14:paraId="3136C820" w14:textId="77777777" w:rsidR="00906F47" w:rsidRDefault="00906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E15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8961EB" w14:textId="77777777" w:rsidR="004A4E71" w:rsidRPr="00420FCD" w:rsidRDefault="004A4E71" w:rsidP="004A4E71">
                          <w:pPr>
                            <w:pStyle w:val="StandardWeb"/>
                            <w:spacing w:after="0" w:afterAutospacing="0"/>
                            <w:jc w:val="right"/>
                            <w:rPr>
                              <w:color w:val="FFFFFF"/>
                            </w:rPr>
                          </w:pPr>
                          <w:r>
                            <w:rPr>
                              <w:rFonts w:ascii="Arial" w:hAnsi="Arial"/>
                              <w:color w:val="FFFFFF"/>
                              <w:sz w:val="28"/>
                            </w:rPr>
                            <w:t>Communiqué de presse mai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08961EB" w14:textId="77777777" w:rsidR="004A4E71" w:rsidRPr="00420FCD" w:rsidRDefault="004A4E71" w:rsidP="004A4E71">
                    <w:pPr>
                      <w:pStyle w:val="StandardWeb"/>
                      <w:spacing w:after="0" w:afterAutospacing="0"/>
                      <w:jc w:val="right"/>
                      <w:rPr>
                        <w:color w:val="FFFFFF"/>
                      </w:rPr>
                    </w:pPr>
                    <w:r>
                      <w:rPr>
                        <w:rFonts w:ascii="Arial" w:hAnsi="Arial"/>
                        <w:color w:val="FFFFFF"/>
                        <w:sz w:val="28"/>
                      </w:rPr>
                      <w:t>Communiqué de presse mai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020C6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62098A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FBA4247"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FBA4247"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FCD"/>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47DC"/>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4BA8"/>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2DD3"/>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4C24"/>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1B1"/>
    <w:rsid w:val="00411277"/>
    <w:rsid w:val="00412D1B"/>
    <w:rsid w:val="0041306D"/>
    <w:rsid w:val="00413859"/>
    <w:rsid w:val="0041402A"/>
    <w:rsid w:val="004155DD"/>
    <w:rsid w:val="00415D98"/>
    <w:rsid w:val="00415F06"/>
    <w:rsid w:val="0041630E"/>
    <w:rsid w:val="00417474"/>
    <w:rsid w:val="00420FCD"/>
    <w:rsid w:val="0042193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97FE0"/>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1E2"/>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1163"/>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660B7"/>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361"/>
    <w:rsid w:val="008F17E1"/>
    <w:rsid w:val="008F2038"/>
    <w:rsid w:val="008F3BCA"/>
    <w:rsid w:val="008F5D70"/>
    <w:rsid w:val="008F7B54"/>
    <w:rsid w:val="00903BD1"/>
    <w:rsid w:val="009056AA"/>
    <w:rsid w:val="00906F47"/>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67EC"/>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A98"/>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7236E109"/>
  <w15:docId w15:val="{130E3963-B2CB-466F-90C1-2A6269D4D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8F13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net/fr" TargetMode="External"/><Relationship Id="rId13" Type="http://schemas.openxmlformats.org/officeDocument/2006/relationships/image" Target="media/image2.jpeg"/><Relationship Id="rId18" Type="http://schemas.openxmlformats.org/officeDocument/2006/relationships/hyperlink" Target="https://www.linkedin.com/company/amazone-franc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france" TargetMode="External"/><Relationship Id="rId17" Type="http://schemas.openxmlformats.org/officeDocument/2006/relationships/image" Target="cid:YT_e9180d16-5a2b-4618-92e9-22a015f9cafb.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facebook.com/amazone.france"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3</Pages>
  <Words>697</Words>
  <Characters>3946</Characters>
  <Application>Microsoft Office Word</Application>
  <DocSecurity>0</DocSecurity>
  <Lines>70</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Communiqué de presse</dc:title>
  <dc:subject/>
  <dc:creator>Berelsmann Nadine</dc:creator>
  <cp:keywords/>
  <dc:description/>
  <cp:lastModifiedBy>Berelsmann Nadine</cp:lastModifiedBy>
  <cp:revision>5</cp:revision>
  <cp:lastPrinted>2010-02-24T09:10:00Z</cp:lastPrinted>
  <dcterms:created xsi:type="dcterms:W3CDTF">2026-05-22T08:13:00Z</dcterms:created>
  <dcterms:modified xsi:type="dcterms:W3CDTF">2026-06-16T07:48:00Z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